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Использование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моноклональных антител при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лечении первично-хронического остеомиелита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нижней челюсти у детей (клинический случай)</w:t>
      </w:r>
      <w:r>
        <w:rPr>
          <w:rFonts w:asciiTheme="majorBidi" w:hAnsiTheme="majorBidi" w:cstheme="majorBidi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vertAlign w:val="superscript"/>
        </w:rPr>
      </w:pPr>
      <w:r>
        <w:rPr>
          <w:rFonts w:asciiTheme="majorBidi" w:hAnsiTheme="majorBidi" w:cstheme="majorBidi"/>
          <w:b/>
          <w:bCs/>
          <w:sz w:val="24"/>
          <w:szCs w:val="24"/>
          <w:highlight w:val="yellow"/>
        </w:rPr>
        <w:t xml:space="preserve">Дагер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</w:rPr>
        <w:t xml:space="preserve"> Сузан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 xml:space="preserve">1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</w:rPr>
        <w:t xml:space="preserve">,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</w:rPr>
        <w:t xml:space="preserve"> Кугушев А.Ю.</w:t>
      </w:r>
      <w:r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 xml:space="preserve">2</w:t>
      </w:r>
      <w:r>
        <w:rPr>
          <w:rFonts w:asciiTheme="majorBidi" w:hAnsiTheme="majorBidi" w:cstheme="majorBidi"/>
          <w:b/>
          <w:bCs/>
          <w:sz w:val="24"/>
          <w:szCs w:val="24"/>
          <w:vertAlign w:val="superscript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  <w:vertAlign w:val="superscript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Аспирант</w:t>
      </w: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1</w:t>
      </w: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,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д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.м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н</w:t>
      </w: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2</w:t>
      </w: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д.м.н., профессор Лопатин А.В.</w:t>
      </w:r>
      <w:r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 xml:space="preserve">1</w:t>
      </w:r>
      <w:r>
        <w:rPr>
          <w:rFonts w:asciiTheme="majorBidi" w:hAnsiTheme="majorBidi" w:cstheme="majorBidi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1</w:t>
      </w:r>
      <w: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ФГАОУ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ВО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«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Российский университет дружбы народов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имени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Патриса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Лумумбы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»</w:t>
      </w:r>
      <w:r>
        <w:rPr>
          <w:rFonts w:asciiTheme="majorBidi" w:hAnsiTheme="majorBidi" w:cstheme="majorBidi"/>
          <w:i/>
          <w:iCs/>
          <w:sz w:val="24"/>
          <w:szCs w:val="24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 xml:space="preserve">2</w:t>
      </w:r>
      <w: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ГБУЗ «Российская детская клиническая больница» Минздрава России</w:t>
      </w:r>
      <w:r>
        <w:rPr>
          <w:rFonts w:asciiTheme="majorBidi" w:hAnsiTheme="majorBidi" w:cstheme="majorBidi"/>
          <w:i/>
          <w:iCs/>
          <w:sz w:val="24"/>
          <w:szCs w:val="24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  <w:lang w:bidi="ar-SY"/>
        </w:rPr>
      </w:pPr>
      <w:r>
        <w:rPr>
          <w:rFonts w:asciiTheme="majorBidi" w:hAnsiTheme="majorBidi" w:cstheme="majorBidi"/>
          <w:i/>
          <w:iCs/>
          <w:sz w:val="24"/>
          <w:szCs w:val="24"/>
          <w:lang w:bidi="ar-SY"/>
        </w:rPr>
        <w:t xml:space="preserve">Кафедра челюстно-лицевой хирургии и хирургической стоматологии</w:t>
      </w:r>
      <w:r>
        <w:rPr>
          <w:rFonts w:asciiTheme="majorBidi" w:hAnsiTheme="majorBidi" w:cstheme="majorBidi"/>
          <w:i/>
          <w:iCs/>
          <w:sz w:val="24"/>
          <w:szCs w:val="24"/>
          <w:lang w:bidi="ar-SY"/>
        </w:rPr>
      </w:r>
    </w:p>
    <w:p>
      <w:pPr>
        <w:jc w:val="center"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  <w:lang w:bidi="ar-SY"/>
        </w:rPr>
      </w:pPr>
      <w:r>
        <w:rPr>
          <w:rFonts w:asciiTheme="majorBidi" w:hAnsiTheme="majorBidi" w:cstheme="majorBidi"/>
          <w:i/>
          <w:iCs/>
          <w:sz w:val="24"/>
          <w:szCs w:val="24"/>
          <w:lang w:bidi="ar-SY"/>
        </w:rPr>
        <w:t xml:space="preserve">г.Москва</w:t>
      </w:r>
      <w:r>
        <w:rPr>
          <w:rFonts w:asciiTheme="majorBidi" w:hAnsiTheme="majorBidi" w:cstheme="majorBidi"/>
          <w:i/>
          <w:iCs/>
          <w:sz w:val="24"/>
          <w:szCs w:val="24"/>
          <w:lang w:bidi="ar-SY"/>
        </w:rPr>
        <w:t xml:space="preserve">, Российская Федерация</w:t>
      </w:r>
      <w:r>
        <w:rPr>
          <w:rFonts w:asciiTheme="majorBidi" w:hAnsiTheme="majorBidi" w:cstheme="majorBidi"/>
          <w:i/>
          <w:iCs/>
          <w:sz w:val="24"/>
          <w:szCs w:val="24"/>
          <w:lang w:bidi="ar-SY"/>
        </w:rPr>
      </w:r>
    </w:p>
    <w:p>
      <w:pPr>
        <w:jc w:val="center"/>
        <w:spacing w:after="25" w:line="240" w:lineRule="auto"/>
        <w:rPr>
          <w:rFonts w:asciiTheme="majorBidi" w:hAnsiTheme="majorBidi" w:cstheme="majorBidi"/>
          <w:i/>
          <w:iCs/>
          <w:sz w:val="24"/>
          <w:szCs w:val="24"/>
          <w:lang w:bidi="ar-SY"/>
        </w:rPr>
      </w:pPr>
      <w:r/>
      <w:hyperlink r:id="rId9" w:tooltip="mailto:suzandager@yandex.com" w:history="1">
        <w:r>
          <w:rPr>
            <w:rStyle w:val="623"/>
            <w:rFonts w:asciiTheme="majorBidi" w:hAnsiTheme="majorBidi" w:cstheme="majorBidi"/>
            <w:i/>
            <w:iCs/>
            <w:sz w:val="24"/>
            <w:szCs w:val="24"/>
            <w:lang w:val="en-US" w:bidi="ar-SY"/>
          </w:rPr>
          <w:t xml:space="preserve">suzandager</w:t>
        </w:r>
        <w:r>
          <w:rPr>
            <w:rStyle w:val="623"/>
            <w:rFonts w:asciiTheme="majorBidi" w:hAnsiTheme="majorBidi" w:cstheme="majorBidi"/>
            <w:i/>
            <w:iCs/>
            <w:sz w:val="24"/>
            <w:szCs w:val="24"/>
            <w:lang w:bidi="ar-SY"/>
          </w:rPr>
          <w:t xml:space="preserve">@</w:t>
        </w:r>
        <w:r>
          <w:rPr>
            <w:rStyle w:val="623"/>
            <w:rFonts w:asciiTheme="majorBidi" w:hAnsiTheme="majorBidi" w:cstheme="majorBidi"/>
            <w:i/>
            <w:iCs/>
            <w:sz w:val="24"/>
            <w:szCs w:val="24"/>
            <w:lang w:val="en-US" w:bidi="ar-SY"/>
          </w:rPr>
          <w:t xml:space="preserve">yandex</w:t>
        </w:r>
        <w:r>
          <w:rPr>
            <w:rStyle w:val="623"/>
            <w:rFonts w:asciiTheme="majorBidi" w:hAnsiTheme="majorBidi" w:cstheme="majorBidi"/>
            <w:i/>
            <w:iCs/>
            <w:sz w:val="24"/>
            <w:szCs w:val="24"/>
            <w:lang w:bidi="ar-SY"/>
          </w:rPr>
          <w:t xml:space="preserve">.</w:t>
        </w:r>
        <w:r>
          <w:rPr>
            <w:rStyle w:val="623"/>
            <w:rFonts w:asciiTheme="majorBidi" w:hAnsiTheme="majorBidi" w:cstheme="majorBidi"/>
            <w:i/>
            <w:iCs/>
            <w:sz w:val="24"/>
            <w:szCs w:val="24"/>
            <w:lang w:val="en-US" w:bidi="ar-SY"/>
          </w:rPr>
          <w:t xml:space="preserve">com</w:t>
        </w:r>
      </w:hyperlink>
      <w:r/>
      <w:r>
        <w:rPr>
          <w:rFonts w:asciiTheme="majorBidi" w:hAnsiTheme="majorBidi" w:cstheme="majorBidi"/>
          <w:i/>
          <w:iCs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Введение</w:t>
      </w: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.</w:t>
      </w: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Первичный хронический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остеомиелит (ПХ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О) представляет собой редкое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аутовоспалительное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заболевание костной ткани, причины возникновения которого до сих пор не установлены. Наиболее подвержены развитию данной патологии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дети в возрастной категории от 3 до 17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лет, при этом, согласно статистике, девочки болеют чаще, чем мальчики [1].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Принимая во внимание важную роль системы RANK/RANKL в развитии болезни,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относительно недавно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 лечебную практику был введен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Деносумаб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показавший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многообещающие результаты, хотя клинический опыт его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использования пока ограничен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Механизм действия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Деносумаба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заключается в ингибировании дифференцировки, функциональной активности и продолжительности жизни остеокластов, что, в свою очередь, приводит к замедлению проц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ессов резорбции костной ткани [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2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]. В данной работе представлено описание т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ипичного клинического случая ПХ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О, включающее анализ клинической картины, рентгенологических и гистологических данных, а также предложены рекомендации по лечению.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Описание клинического случая.</w:t>
      </w: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Ребёнок З.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7 лет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болен с марта 2017, когда боль появилась в области моляров нижней челюсти слева. Родители ребёнка обратились к стоматологу,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который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удалилл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молочный зуб,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однако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боли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лихорадка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сохранились и </w:t>
      </w:r>
      <w:bookmarkStart w:id="0" w:name="_GoBack"/>
      <w:r/>
      <w:bookmarkEnd w:id="0"/>
      <w:r>
        <w:rPr>
          <w:rFonts w:asciiTheme="majorBidi" w:hAnsiTheme="majorBidi" w:cstheme="majorBidi"/>
          <w:sz w:val="24"/>
          <w:szCs w:val="24"/>
          <w:lang w:bidi="ar-SY"/>
        </w:rPr>
        <w:t xml:space="preserve">прогрессировали, что привело к поступлению в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больниц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у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по месту жительство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где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был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поставлен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диагноз первично-хронический остеомиелит и выполнена плоскостная резекция. Спустя год,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воспалени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обострилось, и ребёнку выполнили декортикацию нижней челюсти слева. В мае 2018 процесс распространился на скуловую кость, и была  сделана аналогичная операция на верхней челюсти. В июнь 2018 ситуация обострилась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виде отёк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периодически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бол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скуловой области с двух сторон,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 также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затруднени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 при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открывани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рта, что прив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ело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к госпитализации в РДКБ для  дальнейшего обследования и лечения.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На МСКТ - зоны деструкции скуловой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кости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лева 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права,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 также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неоднородное уплотнение в области ветви нижней челюсти слева с мелкими очагами резорбции. 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На основании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клинически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рентгенологически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дан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ных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было проведено хирургическое вмешате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льство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 взят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ием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биопсии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с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верхней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нижней челюсти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чтобы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исключить злокачественные образовани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другие фиброзные поражение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также выполнена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коррекция деформирующего рубца нижней челюсти слева.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Результаты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осев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показали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микробный рост,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что подтверди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асептический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характер ПХО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Для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профилактики гнойно-септических осложнений в раннем послеоперационном периоде 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обеспечивания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адекватного обезболивания ребёнку назн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ачили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антибактериальную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обезболивающую терапию.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На фоне обострени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качестве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умеренной от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ё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чности в скуловых областях, больше справа,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 также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уплотнения и появления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на КТ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мелки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вздут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области ветв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нижней челюсти справа, ребёнок поступает повторно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 январ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2019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для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продолжения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лечения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 Ребёнку была выполнена д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екортикация вертикальной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ветви нижней челюсти справа, биопсия 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посев верхней челюсти справа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 В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оставленном материале определялись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множественные фрагменты костной ткани с выраженным реактивным остеогенезом.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Межбалочные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пространства заполнены волокнистой соединительной тканью с участками воспалительной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инфильтрации.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 послеоперационный период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было проведено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подкожное введение препарат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деносумаб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объём </w:t>
      </w:r>
      <w:r>
        <w:rPr>
          <w:rFonts w:asciiTheme="majorBidi" w:hAnsiTheme="majorBidi" w:cstheme="majorBidi"/>
          <w:sz w:val="24"/>
          <w:szCs w:val="24"/>
          <w:highlight w:val="yellow"/>
          <w:lang w:bidi="ar-SY"/>
        </w:rPr>
        <w:t xml:space="preserve">40 мг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ребё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нок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был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выписан в удовлетворительном состоянии под наблюдение специалистов по месту жительства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марта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2019 года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ребёнок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стал жаловаться на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боль в области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скуловой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кости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справа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внешнем осмотр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можно было увидеть отёк в области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правой щеки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На МСКТ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было обнаружено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расширение канал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нижней челюсти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неоднородная структура скуловой кости 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уплотнение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ветв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 угла челюсти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справа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На основании клинических и рентгенологических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исследовани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был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проведен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р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евизия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скуловой кости и угла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также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ветв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нижней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челюсти справа.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Тупо и остро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была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выделена передняя поверхность верхней челюсти до сочленения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скуловой костью и нижним краем орбиты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передняя поверхность нижней челюсти в области угла и вертикальной ветви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справа.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С помощью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ложки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Ф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олькмана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распатора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был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выполнен забор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изме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нё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нно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й кости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послеоперационн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ый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период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была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овторно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прове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описа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н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выше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медикаментозная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терапия без введения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препарата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деносумаб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ребёнок был выписан с улучшением. 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sz w:val="24"/>
          <w:szCs w:val="24"/>
          <w:lang w:bidi="ar-SY"/>
        </w:rPr>
        <w:t xml:space="preserve">На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МСКТ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наблюдении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август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2020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ноябр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2021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можно увидеть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модели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рование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регенерацию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и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восстановление однородного контура челюстей, что позволи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сказать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о том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что включение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деносумаб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в план лечения ПХО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дал возможность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получить стойку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ю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дл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ительную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клиническую ремиссию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без каких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-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либо симптомов.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bidi="ar-SY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Заключение.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Лечение ПХО</w:t>
      </w: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безусловно должно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быть комплексным и обязате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льно охватывать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антирезорбтивные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препараты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включая использование моноклональных антител.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Тем не менее,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оста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ё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тся неясным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почему некоторые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пациенты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 достигают удовлетворительных результатов при однократной дозе, в то время как другим требуется несколько доз для достижения желаемого терапевтического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эффекта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, что подчёркивает необходимость дальнейших исследований в этой области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.</w:t>
      </w:r>
      <w:r>
        <w:rPr>
          <w:rFonts w:asciiTheme="majorBidi" w:hAnsiTheme="majorBidi" w:cstheme="majorBidi"/>
          <w:sz w:val="24"/>
          <w:szCs w:val="24"/>
          <w:lang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b/>
          <w:bCs/>
          <w:sz w:val="24"/>
          <w:szCs w:val="24"/>
          <w:lang w:bidi="ar-SY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SY"/>
        </w:rPr>
        <w:t xml:space="preserve">Список литературы. </w:t>
      </w:r>
      <w:r>
        <w:rPr>
          <w:rFonts w:asciiTheme="majorBidi" w:hAnsiTheme="majorBidi" w:cstheme="majorBidi"/>
          <w:b/>
          <w:bCs/>
          <w:sz w:val="24"/>
          <w:szCs w:val="24"/>
          <w:lang w:bidi="ar-SY"/>
        </w:rPr>
      </w:r>
    </w:p>
    <w:p>
      <w:pPr>
        <w:pStyle w:val="624"/>
        <w:numPr>
          <w:ilvl w:val="0"/>
          <w:numId w:val="1"/>
        </w:numPr>
        <w:ind w:left="0" w:firstLine="0"/>
        <w:jc w:val="both"/>
        <w:tabs>
          <w:tab w:val="left" w:pos="270" w:leader="none"/>
        </w:tabs>
        <w:rPr>
          <w:rFonts w:asciiTheme="majorBidi" w:hAnsiTheme="majorBidi" w:cstheme="majorBidi"/>
          <w:sz w:val="24"/>
          <w:szCs w:val="24"/>
          <w:lang w:val="en-US" w:bidi="ar-SY"/>
        </w:rPr>
      </w:pP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Chronic non-ba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cterial osteomyelitis: a review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/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Buch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SY"/>
        </w:rPr>
        <w:t xml:space="preserve">К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,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Cathrine Baun Thuesen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A.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, Brøns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C.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, Schwarz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P. //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Calcified tissue international.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2019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T.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104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.</w:t>
      </w:r>
      <w:r>
        <w:rPr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 №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5.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 С.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544-553.</w:t>
      </w:r>
      <w:r>
        <w:rPr>
          <w:rFonts w:cs="Times New Roman" w:asciiTheme="majorBidi" w:hAnsiTheme="majorBidi"/>
          <w:sz w:val="24"/>
          <w:szCs w:val="24"/>
          <w:rtl/>
          <w:lang w:bidi="ar-SY"/>
        </w:rPr>
        <w:t xml:space="preserve">‏</w:t>
      </w:r>
      <w:r>
        <w:rPr>
          <w:rFonts w:asciiTheme="majorBidi" w:hAnsiTheme="majorBidi" w:cstheme="majorBidi"/>
          <w:sz w:val="24"/>
          <w:szCs w:val="24"/>
          <w:lang w:val="en-US" w:bidi="ar-SY"/>
        </w:rPr>
      </w:r>
    </w:p>
    <w:p>
      <w:pPr>
        <w:pStyle w:val="624"/>
        <w:numPr>
          <w:ilvl w:val="0"/>
          <w:numId w:val="1"/>
        </w:numPr>
        <w:ind w:left="270" w:hanging="270"/>
        <w:jc w:val="both"/>
        <w:tabs>
          <w:tab w:val="left" w:pos="270" w:leader="none"/>
        </w:tabs>
        <w:rPr>
          <w:rFonts w:asciiTheme="majorBidi" w:hAnsiTheme="majorBidi" w:cstheme="majorBidi"/>
          <w:sz w:val="24"/>
          <w:szCs w:val="24"/>
          <w:lang w:val="en-US" w:bidi="ar-SY"/>
        </w:rPr>
      </w:pP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Treatment of diffuse sclerosing osteomyelitis of the jaw with denosumab shows remarkable results—A report of two cases.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/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Fredrik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H.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Korduner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M.,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Møystad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A.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Bjørnland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T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//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Clinical Case Reports.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 2018. – T.6.</w:t>
      </w:r>
      <w:r>
        <w:rPr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–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№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12. – C.</w:t>
      </w:r>
      <w:r>
        <w:rPr>
          <w:rFonts w:asciiTheme="majorBidi" w:hAnsiTheme="majorBidi" w:cstheme="majorBidi"/>
          <w:sz w:val="24"/>
          <w:szCs w:val="24"/>
          <w:lang w:val="en-US" w:bidi="ar-SY"/>
        </w:rPr>
        <w:t xml:space="preserve"> 2434.</w:t>
      </w:r>
      <w:r>
        <w:rPr>
          <w:rFonts w:cs="Times New Roman" w:asciiTheme="majorBidi" w:hAnsiTheme="majorBidi"/>
          <w:sz w:val="24"/>
          <w:szCs w:val="24"/>
          <w:rtl/>
          <w:lang w:val="en-US" w:bidi="ar-SY"/>
        </w:rPr>
        <w:t xml:space="preserve">‏</w:t>
      </w:r>
      <w:r>
        <w:rPr>
          <w:rFonts w:asciiTheme="majorBidi" w:hAnsiTheme="majorBidi" w:cstheme="majorBidi"/>
          <w:sz w:val="24"/>
          <w:szCs w:val="24"/>
          <w:lang w:val="en-US" w:bidi="ar-SY"/>
        </w:rPr>
      </w:r>
    </w:p>
    <w:p>
      <w:pPr>
        <w:jc w:val="both"/>
        <w:spacing w:after="25" w:line="240" w:lineRule="auto"/>
        <w:rPr>
          <w:rFonts w:asciiTheme="majorBidi" w:hAnsiTheme="majorBidi" w:cstheme="majorBidi"/>
          <w:sz w:val="24"/>
          <w:szCs w:val="24"/>
          <w:lang w:val="en-US" w:bidi="ar-SY"/>
        </w:rPr>
      </w:pPr>
      <w:r>
        <w:rPr>
          <w:rFonts w:asciiTheme="majorBidi" w:hAnsiTheme="majorBidi" w:cstheme="majorBidi"/>
          <w:sz w:val="24"/>
          <w:szCs w:val="24"/>
          <w:lang w:val="en-US" w:bidi="ar-SY"/>
        </w:rPr>
      </w:r>
      <w:r>
        <w:rPr>
          <w:rFonts w:asciiTheme="majorBidi" w:hAnsiTheme="majorBidi" w:cstheme="majorBidi"/>
          <w:sz w:val="24"/>
          <w:szCs w:val="24"/>
          <w:lang w:val="en-US" w:bidi="ar-SY"/>
        </w:rPr>
      </w:r>
    </w:p>
    <w:sectPr>
      <w:footnotePr/>
      <w:endnotePr/>
      <w:type w:val="nextPage"/>
      <w:pgSz w:w="11906" w:h="16838" w:orient="portrait"/>
      <w:pgMar w:top="1134" w:right="1361" w:bottom="1134" w:left="136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>
    <w:name w:val="Hyperlink"/>
    <w:basedOn w:val="620"/>
    <w:uiPriority w:val="99"/>
    <w:unhideWhenUsed/>
    <w:rPr>
      <w:color w:val="0000ff" w:themeColor="hyperlink"/>
      <w:u w:val="single"/>
    </w:rPr>
  </w:style>
  <w:style w:type="paragraph" w:styleId="624">
    <w:name w:val="List Paragraph"/>
    <w:basedOn w:val="619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suzandager@yandex.co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 dagher</dc:creator>
  <cp:keywords/>
  <dc:description/>
  <cp:lastModifiedBy>Инга Новохатская</cp:lastModifiedBy>
  <cp:revision>8</cp:revision>
  <dcterms:created xsi:type="dcterms:W3CDTF">2025-03-13T16:30:00Z</dcterms:created>
  <dcterms:modified xsi:type="dcterms:W3CDTF">2025-03-21T12:16:54Z</dcterms:modified>
</cp:coreProperties>
</file>